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B02B" w14:textId="77777777" w:rsidR="00857F67" w:rsidRPr="00857F67" w:rsidRDefault="00857F67" w:rsidP="00857F67">
      <w:pPr>
        <w:pStyle w:val="HChG"/>
        <w:spacing w:before="120" w:after="120"/>
        <w:rPr>
          <w:sz w:val="32"/>
          <w:szCs w:val="22"/>
        </w:rPr>
      </w:pPr>
      <w:r w:rsidRPr="00857F67">
        <w:rPr>
          <w:sz w:val="32"/>
          <w:szCs w:val="22"/>
        </w:rPr>
        <w:t>Part three</w:t>
      </w:r>
    </w:p>
    <w:p w14:paraId="18121172" w14:textId="1F45A222" w:rsidR="00857F67" w:rsidRPr="00A4007E" w:rsidRDefault="00857F67" w:rsidP="00857F67">
      <w:pPr>
        <w:pStyle w:val="HChG"/>
        <w:spacing w:before="120" w:after="120"/>
      </w:pPr>
      <w:r w:rsidRPr="00A4007E">
        <w:t>Common indicators</w:t>
      </w:r>
      <w:r w:rsidRPr="00A4007E">
        <w:rPr>
          <w:rStyle w:val="FootnoteReference"/>
        </w:rPr>
        <w:footnoteReference w:id="1"/>
      </w:r>
    </w:p>
    <w:p w14:paraId="06FA23DC" w14:textId="2A32B2F7" w:rsidR="00A82D6C" w:rsidRPr="00A4007E" w:rsidRDefault="00A82D6C" w:rsidP="00A82D6C">
      <w:pPr>
        <w:pStyle w:val="H1G"/>
      </w:pPr>
      <w:r w:rsidRPr="00A4007E">
        <w:t>V.</w:t>
      </w:r>
      <w:r w:rsidRPr="00A4007E">
        <w:tab/>
      </w:r>
      <w:r w:rsidR="00E04251">
        <w:t xml:space="preserve"> </w:t>
      </w:r>
      <w:r w:rsidRPr="00A4007E">
        <w:t>Effectiveness of management, protection and use of freshwater resources</w:t>
      </w:r>
    </w:p>
    <w:p w14:paraId="69CAEC0E" w14:textId="327B881A" w:rsidR="00F908E3" w:rsidRPr="00A4007E" w:rsidRDefault="00F908E3" w:rsidP="00F908E3">
      <w:pPr>
        <w:pStyle w:val="H23G"/>
        <w:spacing w:line="200" w:lineRule="atLeast"/>
        <w:rPr>
          <w:sz w:val="22"/>
        </w:rPr>
      </w:pPr>
      <w:r w:rsidRPr="00A4007E">
        <w:rPr>
          <w:sz w:val="22"/>
        </w:rPr>
        <w:t>2.</w:t>
      </w:r>
      <w:r w:rsidRPr="00A4007E">
        <w:rPr>
          <w:sz w:val="22"/>
        </w:rPr>
        <w:tab/>
      </w:r>
      <w:r>
        <w:rPr>
          <w:sz w:val="22"/>
        </w:rPr>
        <w:t xml:space="preserve"> </w:t>
      </w:r>
      <w:r w:rsidRPr="00A4007E">
        <w:t>Water use</w:t>
      </w:r>
    </w:p>
    <w:p w14:paraId="28CECA5A" w14:textId="77777777" w:rsidR="00F908E3" w:rsidRPr="00A4007E" w:rsidRDefault="00F908E3" w:rsidP="00F908E3">
      <w:pPr>
        <w:pStyle w:val="SingleTxtG"/>
        <w:spacing w:before="120" w:after="240" w:line="200" w:lineRule="atLeast"/>
        <w:ind w:left="0"/>
      </w:pPr>
      <w:r w:rsidRPr="00A4007E">
        <w:t>3.</w:t>
      </w:r>
      <w:r w:rsidRPr="00A4007E">
        <w:tab/>
        <w:t>Please provide information on the water exploitation index at the national and river basin levels for each sector (agriculture, industry, domestic), i.e., the mean annual abstraction of freshwater by sector divided by the mean annual total renewable freshwater resource at the country level, expressed in percentage terms.</w:t>
      </w:r>
    </w:p>
    <w:tbl>
      <w:tblPr>
        <w:tblW w:w="8505"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71"/>
        <w:gridCol w:w="1106"/>
        <w:gridCol w:w="1497"/>
        <w:gridCol w:w="1031"/>
      </w:tblGrid>
      <w:tr w:rsidR="00F908E3" w:rsidRPr="00A4007E" w14:paraId="01739A2D" w14:textId="77777777" w:rsidTr="00F908E3">
        <w:trPr>
          <w:tblHeader/>
        </w:trPr>
        <w:tc>
          <w:tcPr>
            <w:tcW w:w="2864" w:type="pct"/>
            <w:tcBorders>
              <w:top w:val="single" w:sz="4" w:space="0" w:color="auto"/>
              <w:bottom w:val="single" w:sz="12" w:space="0" w:color="auto"/>
            </w:tcBorders>
            <w:shd w:val="clear" w:color="auto" w:fill="auto"/>
            <w:vAlign w:val="bottom"/>
          </w:tcPr>
          <w:p w14:paraId="20359C70" w14:textId="77777777" w:rsidR="00F908E3" w:rsidRPr="00A4007E" w:rsidRDefault="00F908E3" w:rsidP="000D5156">
            <w:pPr>
              <w:spacing w:before="80" w:after="80" w:line="200" w:lineRule="atLeast"/>
              <w:ind w:right="113"/>
              <w:rPr>
                <w:i/>
                <w:sz w:val="16"/>
                <w:lang w:eastAsia="en-GB"/>
              </w:rPr>
            </w:pPr>
            <w:r w:rsidRPr="00A4007E">
              <w:rPr>
                <w:i/>
                <w:sz w:val="16"/>
                <w:lang w:eastAsia="en-GB"/>
              </w:rPr>
              <w:t>Water exploitation index</w:t>
            </w:r>
          </w:p>
        </w:tc>
        <w:tc>
          <w:tcPr>
            <w:tcW w:w="650" w:type="pct"/>
            <w:tcBorders>
              <w:top w:val="single" w:sz="4" w:space="0" w:color="auto"/>
              <w:bottom w:val="single" w:sz="12" w:space="0" w:color="auto"/>
            </w:tcBorders>
            <w:shd w:val="clear" w:color="auto" w:fill="auto"/>
            <w:vAlign w:val="bottom"/>
          </w:tcPr>
          <w:p w14:paraId="43BF41F0" w14:textId="77777777" w:rsidR="00F908E3" w:rsidRPr="00A4007E" w:rsidRDefault="00F908E3" w:rsidP="000D5156">
            <w:pPr>
              <w:pStyle w:val="Default"/>
              <w:spacing w:before="80" w:after="80" w:line="200" w:lineRule="atLeast"/>
              <w:ind w:right="113"/>
              <w:rPr>
                <w:i/>
                <w:color w:val="auto"/>
                <w:sz w:val="16"/>
                <w:szCs w:val="22"/>
              </w:rPr>
            </w:pPr>
            <w:r w:rsidRPr="00A4007E">
              <w:rPr>
                <w:i/>
                <w:color w:val="auto"/>
                <w:sz w:val="16"/>
                <w:szCs w:val="22"/>
              </w:rPr>
              <w:t>Baseline value</w:t>
            </w:r>
            <w:r w:rsidRPr="00A4007E">
              <w:rPr>
                <w:i/>
                <w:color w:val="auto"/>
                <w:sz w:val="16"/>
                <w:szCs w:val="22"/>
              </w:rPr>
              <w:br/>
              <w:t>(specify year)</w:t>
            </w:r>
          </w:p>
        </w:tc>
        <w:tc>
          <w:tcPr>
            <w:tcW w:w="880" w:type="pct"/>
            <w:tcBorders>
              <w:top w:val="single" w:sz="4" w:space="0" w:color="auto"/>
              <w:bottom w:val="single" w:sz="12" w:space="0" w:color="auto"/>
            </w:tcBorders>
            <w:shd w:val="clear" w:color="auto" w:fill="auto"/>
            <w:vAlign w:val="bottom"/>
          </w:tcPr>
          <w:p w14:paraId="1B517872" w14:textId="77777777" w:rsidR="00F908E3" w:rsidRPr="00A4007E" w:rsidRDefault="00F908E3" w:rsidP="000D5156">
            <w:pPr>
              <w:spacing w:before="80" w:after="80" w:line="200" w:lineRule="atLeast"/>
              <w:ind w:right="113"/>
              <w:rPr>
                <w:i/>
                <w:sz w:val="16"/>
                <w:lang w:eastAsia="en-GB"/>
              </w:rPr>
            </w:pPr>
            <w:r w:rsidRPr="00A4007E">
              <w:rPr>
                <w:i/>
                <w:sz w:val="16"/>
                <w:lang w:eastAsia="en-GB"/>
              </w:rPr>
              <w:t>Value reported in the previous reporting cycle (specify year)</w:t>
            </w:r>
          </w:p>
        </w:tc>
        <w:tc>
          <w:tcPr>
            <w:tcW w:w="606" w:type="pct"/>
            <w:tcBorders>
              <w:top w:val="single" w:sz="4" w:space="0" w:color="auto"/>
              <w:bottom w:val="single" w:sz="12" w:space="0" w:color="auto"/>
            </w:tcBorders>
            <w:shd w:val="clear" w:color="auto" w:fill="auto"/>
            <w:vAlign w:val="bottom"/>
          </w:tcPr>
          <w:p w14:paraId="1F86623E" w14:textId="77777777" w:rsidR="00F908E3" w:rsidRPr="00A4007E" w:rsidRDefault="00F908E3" w:rsidP="000D5156">
            <w:pPr>
              <w:pStyle w:val="Default"/>
              <w:spacing w:before="80" w:after="80" w:line="200" w:lineRule="atLeast"/>
              <w:ind w:right="113"/>
              <w:rPr>
                <w:i/>
                <w:color w:val="auto"/>
                <w:sz w:val="16"/>
                <w:szCs w:val="22"/>
              </w:rPr>
            </w:pPr>
            <w:r w:rsidRPr="00A4007E">
              <w:rPr>
                <w:i/>
                <w:color w:val="auto"/>
                <w:sz w:val="16"/>
                <w:szCs w:val="22"/>
              </w:rPr>
              <w:t>Current value</w:t>
            </w:r>
            <w:r w:rsidRPr="00A4007E">
              <w:rPr>
                <w:i/>
                <w:color w:val="auto"/>
                <w:sz w:val="16"/>
                <w:szCs w:val="22"/>
              </w:rPr>
              <w:br/>
              <w:t>(specify year)</w:t>
            </w:r>
          </w:p>
        </w:tc>
      </w:tr>
      <w:tr w:rsidR="00F908E3" w:rsidRPr="00A4007E" w14:paraId="04AA8A91" w14:textId="77777777" w:rsidTr="00F908E3">
        <w:trPr>
          <w:trHeight w:hRule="exact" w:val="113"/>
        </w:trPr>
        <w:tc>
          <w:tcPr>
            <w:tcW w:w="2864" w:type="pct"/>
            <w:tcBorders>
              <w:top w:val="single" w:sz="12" w:space="0" w:color="auto"/>
            </w:tcBorders>
            <w:shd w:val="clear" w:color="auto" w:fill="auto"/>
          </w:tcPr>
          <w:p w14:paraId="4AEE65EC" w14:textId="77777777" w:rsidR="00F908E3" w:rsidRPr="00A4007E" w:rsidRDefault="00F908E3" w:rsidP="000D5156">
            <w:pPr>
              <w:spacing w:before="40" w:after="120" w:line="200" w:lineRule="atLeast"/>
              <w:ind w:right="113"/>
              <w:rPr>
                <w:lang w:eastAsia="en-GB"/>
              </w:rPr>
            </w:pPr>
          </w:p>
        </w:tc>
        <w:tc>
          <w:tcPr>
            <w:tcW w:w="650" w:type="pct"/>
            <w:tcBorders>
              <w:top w:val="single" w:sz="12" w:space="0" w:color="auto"/>
            </w:tcBorders>
            <w:shd w:val="clear" w:color="auto" w:fill="auto"/>
          </w:tcPr>
          <w:p w14:paraId="36C8E3B5" w14:textId="77777777" w:rsidR="00F908E3" w:rsidRPr="00A4007E" w:rsidRDefault="00F908E3" w:rsidP="000D5156">
            <w:pPr>
              <w:spacing w:before="40" w:after="120" w:line="200" w:lineRule="atLeast"/>
              <w:ind w:right="113"/>
              <w:rPr>
                <w:lang w:eastAsia="en-GB"/>
              </w:rPr>
            </w:pPr>
          </w:p>
        </w:tc>
        <w:tc>
          <w:tcPr>
            <w:tcW w:w="880" w:type="pct"/>
            <w:tcBorders>
              <w:top w:val="single" w:sz="12" w:space="0" w:color="auto"/>
            </w:tcBorders>
            <w:shd w:val="clear" w:color="auto" w:fill="auto"/>
          </w:tcPr>
          <w:p w14:paraId="53D454F2" w14:textId="77777777" w:rsidR="00F908E3" w:rsidRPr="00A4007E" w:rsidRDefault="00F908E3" w:rsidP="000D5156">
            <w:pPr>
              <w:spacing w:before="40" w:after="120" w:line="200" w:lineRule="atLeast"/>
              <w:ind w:right="113"/>
              <w:rPr>
                <w:lang w:eastAsia="en-GB"/>
              </w:rPr>
            </w:pPr>
          </w:p>
        </w:tc>
        <w:tc>
          <w:tcPr>
            <w:tcW w:w="606" w:type="pct"/>
            <w:tcBorders>
              <w:top w:val="single" w:sz="12" w:space="0" w:color="auto"/>
            </w:tcBorders>
            <w:shd w:val="clear" w:color="auto" w:fill="auto"/>
          </w:tcPr>
          <w:p w14:paraId="13CB989D" w14:textId="77777777" w:rsidR="00F908E3" w:rsidRPr="00A4007E" w:rsidRDefault="00F908E3" w:rsidP="000D5156">
            <w:pPr>
              <w:spacing w:before="40" w:after="120" w:line="200" w:lineRule="atLeast"/>
              <w:ind w:right="113"/>
              <w:rPr>
                <w:lang w:eastAsia="en-GB"/>
              </w:rPr>
            </w:pPr>
          </w:p>
        </w:tc>
      </w:tr>
      <w:tr w:rsidR="00F908E3" w:rsidRPr="00A4007E" w14:paraId="3B841140" w14:textId="77777777" w:rsidTr="00F908E3">
        <w:tc>
          <w:tcPr>
            <w:tcW w:w="2864" w:type="pct"/>
            <w:shd w:val="clear" w:color="auto" w:fill="auto"/>
          </w:tcPr>
          <w:p w14:paraId="1D9293C0" w14:textId="77777777" w:rsidR="00F908E3" w:rsidRPr="00A4007E" w:rsidRDefault="00F908E3" w:rsidP="000D5156">
            <w:pPr>
              <w:spacing w:before="40" w:after="120" w:line="200" w:lineRule="atLeast"/>
              <w:ind w:right="113"/>
              <w:rPr>
                <w:lang w:eastAsia="en-GB"/>
              </w:rPr>
            </w:pPr>
            <w:r w:rsidRPr="00A4007E">
              <w:rPr>
                <w:lang w:eastAsia="en-GB"/>
              </w:rPr>
              <w:t>Agriculture</w:t>
            </w:r>
          </w:p>
        </w:tc>
        <w:tc>
          <w:tcPr>
            <w:tcW w:w="650" w:type="pct"/>
            <w:shd w:val="clear" w:color="auto" w:fill="auto"/>
          </w:tcPr>
          <w:p w14:paraId="1B3AF3A2" w14:textId="77777777" w:rsidR="00F908E3" w:rsidRPr="00A4007E" w:rsidRDefault="00F908E3" w:rsidP="000D5156">
            <w:pPr>
              <w:spacing w:before="40" w:after="120" w:line="200" w:lineRule="atLeast"/>
              <w:ind w:right="113"/>
              <w:rPr>
                <w:lang w:eastAsia="en-GB"/>
              </w:rPr>
            </w:pPr>
          </w:p>
        </w:tc>
        <w:tc>
          <w:tcPr>
            <w:tcW w:w="880" w:type="pct"/>
            <w:shd w:val="clear" w:color="auto" w:fill="auto"/>
          </w:tcPr>
          <w:p w14:paraId="3FA1613F" w14:textId="77777777" w:rsidR="00F908E3" w:rsidRPr="00A4007E" w:rsidRDefault="00F908E3" w:rsidP="000D5156">
            <w:pPr>
              <w:spacing w:before="40" w:after="120" w:line="200" w:lineRule="atLeast"/>
              <w:ind w:right="113"/>
              <w:rPr>
                <w:lang w:eastAsia="en-GB"/>
              </w:rPr>
            </w:pPr>
          </w:p>
        </w:tc>
        <w:tc>
          <w:tcPr>
            <w:tcW w:w="606" w:type="pct"/>
            <w:shd w:val="clear" w:color="auto" w:fill="auto"/>
          </w:tcPr>
          <w:p w14:paraId="2D1C8E19" w14:textId="77777777" w:rsidR="00F908E3" w:rsidRPr="00A4007E" w:rsidRDefault="00F908E3" w:rsidP="000D5156">
            <w:pPr>
              <w:spacing w:before="40" w:after="120" w:line="200" w:lineRule="atLeast"/>
              <w:ind w:right="113"/>
              <w:rPr>
                <w:lang w:eastAsia="en-GB"/>
              </w:rPr>
            </w:pPr>
          </w:p>
        </w:tc>
      </w:tr>
      <w:tr w:rsidR="00F908E3" w:rsidRPr="00A4007E" w14:paraId="5B69368A" w14:textId="77777777" w:rsidTr="00F908E3">
        <w:tc>
          <w:tcPr>
            <w:tcW w:w="2864" w:type="pct"/>
            <w:shd w:val="clear" w:color="auto" w:fill="auto"/>
          </w:tcPr>
          <w:p w14:paraId="5496989E" w14:textId="77777777" w:rsidR="00F908E3" w:rsidRPr="00A4007E" w:rsidRDefault="00F908E3" w:rsidP="000D5156">
            <w:pPr>
              <w:spacing w:before="40" w:after="120" w:line="200" w:lineRule="atLeast"/>
              <w:ind w:right="113"/>
              <w:rPr>
                <w:lang w:eastAsia="en-GB"/>
              </w:rPr>
            </w:pPr>
            <w:proofErr w:type="spellStart"/>
            <w:r w:rsidRPr="00A4007E">
              <w:rPr>
                <w:lang w:eastAsia="en-GB"/>
              </w:rPr>
              <w:t>Industry</w:t>
            </w:r>
            <w:r w:rsidRPr="00A4007E">
              <w:rPr>
                <w:i/>
                <w:vertAlign w:val="superscript"/>
                <w:lang w:eastAsia="en-GB"/>
              </w:rPr>
              <w:t>a</w:t>
            </w:r>
            <w:proofErr w:type="spellEnd"/>
          </w:p>
        </w:tc>
        <w:tc>
          <w:tcPr>
            <w:tcW w:w="650" w:type="pct"/>
            <w:shd w:val="clear" w:color="auto" w:fill="auto"/>
          </w:tcPr>
          <w:p w14:paraId="3069D378" w14:textId="77777777" w:rsidR="00F908E3" w:rsidRPr="00A4007E" w:rsidRDefault="00F908E3" w:rsidP="000D5156">
            <w:pPr>
              <w:spacing w:before="40" w:after="120" w:line="200" w:lineRule="atLeast"/>
              <w:ind w:right="113"/>
              <w:rPr>
                <w:lang w:eastAsia="en-GB"/>
              </w:rPr>
            </w:pPr>
          </w:p>
        </w:tc>
        <w:tc>
          <w:tcPr>
            <w:tcW w:w="880" w:type="pct"/>
            <w:shd w:val="clear" w:color="auto" w:fill="auto"/>
          </w:tcPr>
          <w:p w14:paraId="66E275E9" w14:textId="77777777" w:rsidR="00F908E3" w:rsidRPr="00A4007E" w:rsidRDefault="00F908E3" w:rsidP="000D5156">
            <w:pPr>
              <w:spacing w:before="40" w:after="120" w:line="200" w:lineRule="atLeast"/>
              <w:ind w:right="113"/>
              <w:rPr>
                <w:lang w:eastAsia="en-GB"/>
              </w:rPr>
            </w:pPr>
          </w:p>
        </w:tc>
        <w:tc>
          <w:tcPr>
            <w:tcW w:w="606" w:type="pct"/>
            <w:shd w:val="clear" w:color="auto" w:fill="auto"/>
          </w:tcPr>
          <w:p w14:paraId="18D26B40" w14:textId="77777777" w:rsidR="00F908E3" w:rsidRPr="00A4007E" w:rsidRDefault="00F908E3" w:rsidP="000D5156">
            <w:pPr>
              <w:spacing w:before="40" w:after="120" w:line="200" w:lineRule="atLeast"/>
              <w:ind w:right="113"/>
              <w:rPr>
                <w:lang w:eastAsia="en-GB"/>
              </w:rPr>
            </w:pPr>
          </w:p>
        </w:tc>
      </w:tr>
      <w:tr w:rsidR="00F908E3" w:rsidRPr="00A4007E" w14:paraId="2B16DF34" w14:textId="77777777" w:rsidTr="00F908E3">
        <w:tc>
          <w:tcPr>
            <w:tcW w:w="2864" w:type="pct"/>
            <w:shd w:val="clear" w:color="auto" w:fill="auto"/>
          </w:tcPr>
          <w:p w14:paraId="6E5E2020" w14:textId="77777777" w:rsidR="00F908E3" w:rsidRPr="00A4007E" w:rsidRDefault="00F908E3" w:rsidP="000D5156">
            <w:pPr>
              <w:spacing w:before="40" w:after="120" w:line="200" w:lineRule="atLeast"/>
              <w:ind w:right="113"/>
              <w:rPr>
                <w:lang w:eastAsia="en-GB"/>
              </w:rPr>
            </w:pPr>
            <w:r w:rsidRPr="00A4007E">
              <w:rPr>
                <w:lang w:eastAsia="en-GB"/>
              </w:rPr>
              <w:t xml:space="preserve">Domestic </w:t>
            </w:r>
            <w:proofErr w:type="spellStart"/>
            <w:r w:rsidRPr="00A4007E">
              <w:rPr>
                <w:lang w:eastAsia="en-GB"/>
              </w:rPr>
              <w:t>use</w:t>
            </w:r>
            <w:r w:rsidRPr="00A4007E">
              <w:rPr>
                <w:i/>
                <w:vertAlign w:val="superscript"/>
                <w:lang w:eastAsia="en-GB"/>
              </w:rPr>
              <w:t>b</w:t>
            </w:r>
            <w:proofErr w:type="spellEnd"/>
          </w:p>
        </w:tc>
        <w:tc>
          <w:tcPr>
            <w:tcW w:w="650" w:type="pct"/>
            <w:shd w:val="clear" w:color="auto" w:fill="auto"/>
          </w:tcPr>
          <w:p w14:paraId="2C035D38" w14:textId="77777777" w:rsidR="00F908E3" w:rsidRPr="00A4007E" w:rsidRDefault="00F908E3" w:rsidP="000D5156">
            <w:pPr>
              <w:spacing w:before="40" w:after="120" w:line="200" w:lineRule="atLeast"/>
              <w:ind w:right="113"/>
              <w:rPr>
                <w:lang w:eastAsia="en-GB"/>
              </w:rPr>
            </w:pPr>
          </w:p>
        </w:tc>
        <w:tc>
          <w:tcPr>
            <w:tcW w:w="880" w:type="pct"/>
            <w:shd w:val="clear" w:color="auto" w:fill="auto"/>
          </w:tcPr>
          <w:p w14:paraId="181BEEE9" w14:textId="77777777" w:rsidR="00F908E3" w:rsidRPr="00A4007E" w:rsidRDefault="00F908E3" w:rsidP="000D5156">
            <w:pPr>
              <w:spacing w:before="40" w:after="120" w:line="200" w:lineRule="atLeast"/>
              <w:ind w:right="113"/>
              <w:rPr>
                <w:lang w:eastAsia="en-GB"/>
              </w:rPr>
            </w:pPr>
          </w:p>
        </w:tc>
        <w:tc>
          <w:tcPr>
            <w:tcW w:w="606" w:type="pct"/>
            <w:shd w:val="clear" w:color="auto" w:fill="auto"/>
          </w:tcPr>
          <w:p w14:paraId="02A911A7" w14:textId="77777777" w:rsidR="00F908E3" w:rsidRPr="00A4007E" w:rsidRDefault="00F908E3" w:rsidP="000D5156">
            <w:pPr>
              <w:spacing w:before="40" w:after="120" w:line="200" w:lineRule="atLeast"/>
              <w:ind w:right="113"/>
              <w:rPr>
                <w:lang w:eastAsia="en-GB"/>
              </w:rPr>
            </w:pPr>
          </w:p>
        </w:tc>
      </w:tr>
    </w:tbl>
    <w:p w14:paraId="277D95D3" w14:textId="77777777" w:rsidR="00F908E3" w:rsidRPr="00A4007E" w:rsidRDefault="00F908E3" w:rsidP="00F908E3">
      <w:pPr>
        <w:pStyle w:val="SingleTxtG"/>
        <w:spacing w:before="120" w:after="0" w:line="200" w:lineRule="atLeast"/>
        <w:ind w:left="0" w:right="425" w:firstLine="170"/>
        <w:jc w:val="left"/>
        <w:rPr>
          <w:sz w:val="18"/>
          <w:szCs w:val="18"/>
        </w:rPr>
      </w:pPr>
      <w:proofErr w:type="gramStart"/>
      <w:r w:rsidRPr="00A4007E">
        <w:rPr>
          <w:i/>
          <w:sz w:val="18"/>
          <w:szCs w:val="18"/>
          <w:vertAlign w:val="superscript"/>
        </w:rPr>
        <w:t>a</w:t>
      </w:r>
      <w:r w:rsidRPr="00A4007E">
        <w:rPr>
          <w:sz w:val="18"/>
          <w:szCs w:val="18"/>
        </w:rPr>
        <w:t xml:space="preserve">  Please</w:t>
      </w:r>
      <w:proofErr w:type="gramEnd"/>
      <w:r w:rsidRPr="00A4007E">
        <w:rPr>
          <w:sz w:val="18"/>
          <w:szCs w:val="18"/>
        </w:rPr>
        <w:t xml:space="preserve"> specify whether the figure includes both water abstraction for manufacturing industry and for energy cooling.</w:t>
      </w:r>
    </w:p>
    <w:p w14:paraId="17E99885" w14:textId="77777777" w:rsidR="00F908E3" w:rsidRPr="00A4007E" w:rsidRDefault="00F908E3" w:rsidP="00F908E3">
      <w:pPr>
        <w:pStyle w:val="SingleTxtG"/>
        <w:spacing w:after="240" w:line="200" w:lineRule="atLeast"/>
        <w:ind w:left="0" w:right="425" w:firstLine="170"/>
        <w:jc w:val="left"/>
      </w:pPr>
      <w:proofErr w:type="gramStart"/>
      <w:r w:rsidRPr="00A4007E">
        <w:rPr>
          <w:i/>
          <w:sz w:val="18"/>
          <w:szCs w:val="18"/>
          <w:vertAlign w:val="superscript"/>
        </w:rPr>
        <w:t>b</w:t>
      </w:r>
      <w:r w:rsidRPr="00A4007E">
        <w:rPr>
          <w:sz w:val="18"/>
          <w:szCs w:val="18"/>
        </w:rPr>
        <w:t xml:space="preserve">  Please</w:t>
      </w:r>
      <w:proofErr w:type="gramEnd"/>
      <w:r w:rsidRPr="00A4007E">
        <w:rPr>
          <w:sz w:val="18"/>
          <w:szCs w:val="18"/>
        </w:rPr>
        <w:t xml:space="preserve"> specify whether the figure only refers to public water supply systems or also to individual supply systems (e.g., wells).</w:t>
      </w:r>
    </w:p>
    <w:p w14:paraId="15AFE9AB" w14:textId="77777777" w:rsidR="00857F67" w:rsidRDefault="00857F67"/>
    <w:sectPr w:rsidR="00857F67" w:rsidSect="009E62F9">
      <w:pgSz w:w="11906" w:h="16838"/>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E8BC" w14:textId="77777777" w:rsidR="005A6642" w:rsidRDefault="005A6642" w:rsidP="00857F67">
      <w:pPr>
        <w:spacing w:after="0" w:line="240" w:lineRule="auto"/>
      </w:pPr>
      <w:r>
        <w:separator/>
      </w:r>
    </w:p>
  </w:endnote>
  <w:endnote w:type="continuationSeparator" w:id="0">
    <w:p w14:paraId="6B0472DB" w14:textId="77777777" w:rsidR="005A6642" w:rsidRDefault="005A6642" w:rsidP="008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611F" w14:textId="77777777" w:rsidR="005A6642" w:rsidRDefault="005A6642" w:rsidP="00857F67">
      <w:pPr>
        <w:spacing w:after="0" w:line="240" w:lineRule="auto"/>
      </w:pPr>
      <w:r>
        <w:separator/>
      </w:r>
    </w:p>
  </w:footnote>
  <w:footnote w:type="continuationSeparator" w:id="0">
    <w:p w14:paraId="729A6160" w14:textId="77777777" w:rsidR="005A6642" w:rsidRDefault="005A6642" w:rsidP="00857F67">
      <w:pPr>
        <w:spacing w:after="0" w:line="240" w:lineRule="auto"/>
      </w:pPr>
      <w:r>
        <w:continuationSeparator/>
      </w:r>
    </w:p>
  </w:footnote>
  <w:footnote w:id="1">
    <w:p w14:paraId="50D6AAAD" w14:textId="77777777" w:rsidR="00857F67" w:rsidRPr="000F51BF" w:rsidRDefault="00857F67" w:rsidP="00857F67">
      <w:pPr>
        <w:pStyle w:val="FootnoteText"/>
        <w:widowControl w:val="0"/>
        <w:tabs>
          <w:tab w:val="clear" w:pos="1021"/>
          <w:tab w:val="right" w:pos="1020"/>
        </w:tabs>
      </w:pPr>
      <w:r>
        <w:tab/>
      </w:r>
      <w:r>
        <w:rPr>
          <w:rStyle w:val="FootnoteReference"/>
        </w:rPr>
        <w:footnoteRef/>
      </w:r>
      <w:r>
        <w:tab/>
      </w:r>
      <w:proofErr w:type="gramStart"/>
      <w:r w:rsidRPr="0042699F">
        <w:rPr>
          <w:lang w:val="en-US"/>
        </w:rPr>
        <w:t>In order to</w:t>
      </w:r>
      <w:proofErr w:type="gramEnd"/>
      <w:r w:rsidRPr="0042699F">
        <w:rPr>
          <w:lang w:val="en-US"/>
        </w:rPr>
        <w:t xml:space="preserve"> allow an analysis of trends for all Parties under the Protocol, please use wherever possible 2005</w:t>
      </w:r>
      <w:r>
        <w:rPr>
          <w:lang w:val="en-US"/>
        </w:rPr>
        <w:t xml:space="preserve"> —</w:t>
      </w:r>
      <w:r w:rsidRPr="0042699F">
        <w:rPr>
          <w:lang w:val="en-US"/>
        </w:rPr>
        <w:t xml:space="preserve"> the year of entry into force of the Protocol </w:t>
      </w:r>
      <w:r w:rsidRPr="00A15E80">
        <w:rPr>
          <w:lang w:val="en-US"/>
        </w:rPr>
        <w:t>—</w:t>
      </w:r>
      <w:r w:rsidRPr="0042699F">
        <w:rPr>
          <w:lang w:val="en-US"/>
        </w:rPr>
        <w:t xml:space="preserve"> as the baseline year</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67"/>
    <w:rsid w:val="003E2403"/>
    <w:rsid w:val="004C02B1"/>
    <w:rsid w:val="004F43A6"/>
    <w:rsid w:val="00525332"/>
    <w:rsid w:val="005A6642"/>
    <w:rsid w:val="006973FB"/>
    <w:rsid w:val="007024A6"/>
    <w:rsid w:val="00756C84"/>
    <w:rsid w:val="00857F67"/>
    <w:rsid w:val="008C2DA7"/>
    <w:rsid w:val="009E62F9"/>
    <w:rsid w:val="00A82D6C"/>
    <w:rsid w:val="00B46F7D"/>
    <w:rsid w:val="00E04251"/>
    <w:rsid w:val="00EA5F34"/>
    <w:rsid w:val="00F0322C"/>
    <w:rsid w:val="00F908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4EC9"/>
  <w15:chartTrackingRefBased/>
  <w15:docId w15:val="{0BEAEEA9-00C2-4E56-AD26-C9D28E91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857F67"/>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857F67"/>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857F67"/>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857F67"/>
    <w:rPr>
      <w:sz w:val="20"/>
      <w:szCs w:val="20"/>
    </w:rPr>
  </w:style>
  <w:style w:type="paragraph" w:customStyle="1" w:styleId="H1G">
    <w:name w:val="_ H_1_G"/>
    <w:basedOn w:val="Normal"/>
    <w:next w:val="Normal"/>
    <w:uiPriority w:val="99"/>
    <w:rsid w:val="00857F67"/>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rPr>
  </w:style>
  <w:style w:type="character" w:customStyle="1" w:styleId="FootnoteTextChar1">
    <w:name w:val="Footnote Text Char1"/>
    <w:aliases w:val="5_G Char1,fn Char1,Footnotes Char1,Footnote ak Char1,footnote Char1,footnote text Char1"/>
    <w:link w:val="FootnoteText"/>
    <w:locked/>
    <w:rsid w:val="00857F67"/>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857F67"/>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SingleTxtGChar">
    <w:name w:val="_ Single Txt_G Char"/>
    <w:link w:val="SingleTxtG"/>
    <w:uiPriority w:val="99"/>
    <w:locked/>
    <w:rsid w:val="00857F67"/>
    <w:rPr>
      <w:rFonts w:ascii="Times New Roman" w:eastAsia="Times New Roman" w:hAnsi="Times New Roman" w:cs="Times New Roman"/>
      <w:sz w:val="20"/>
      <w:szCs w:val="20"/>
      <w:lang w:eastAsia="en-US"/>
    </w:rPr>
  </w:style>
  <w:style w:type="paragraph" w:customStyle="1" w:styleId="Default">
    <w:name w:val="Default"/>
    <w:rsid w:val="00857F6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rsid w:val="00756C84"/>
    <w:pPr>
      <w:suppressAutoHyphens/>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rsid w:val="004C02B1"/>
    <w:rPr>
      <w:color w:val="auto"/>
      <w:u w:val="none"/>
    </w:rPr>
  </w:style>
  <w:style w:type="paragraph" w:customStyle="1" w:styleId="H23G">
    <w:name w:val="_ H_2/3_G"/>
    <w:basedOn w:val="Normal"/>
    <w:next w:val="Normal"/>
    <w:uiPriority w:val="99"/>
    <w:rsid w:val="00A82D6C"/>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eastAsia="en-US"/>
    </w:rPr>
  </w:style>
  <w:style w:type="paragraph" w:customStyle="1" w:styleId="H4G">
    <w:name w:val="_ H_4_G"/>
    <w:basedOn w:val="Normal"/>
    <w:next w:val="Normal"/>
    <w:rsid w:val="00A82D6C"/>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302F79B5BE87D40B73359BB004DC9B5" ma:contentTypeVersion="17" ma:contentTypeDescription="Создание документа." ma:contentTypeScope="" ma:versionID="bbfd22cb65562ff4465c31fe16759091">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15e43f823ac46cf7a60abbdc534c5ead"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Теги изображений"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C639A-ED2F-4B33-8045-AAD34503BD98}"/>
</file>

<file path=customXml/itemProps2.xml><?xml version="1.0" encoding="utf-8"?>
<ds:datastoreItem xmlns:ds="http://schemas.openxmlformats.org/officeDocument/2006/customXml" ds:itemID="{1101E47F-169D-4EF6-8249-8566DB7A59A5}"/>
</file>

<file path=customXml/itemProps3.xml><?xml version="1.0" encoding="utf-8"?>
<ds:datastoreItem xmlns:ds="http://schemas.openxmlformats.org/officeDocument/2006/customXml" ds:itemID="{4AD4C58F-744B-4A89-9D93-B91B40EBBE43}"/>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3</cp:revision>
  <dcterms:created xsi:type="dcterms:W3CDTF">2022-05-31T10:13:00Z</dcterms:created>
  <dcterms:modified xsi:type="dcterms:W3CDTF">2022-05-31T10:14:00Z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ies>
</file>